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MEF ÜNİVERSİTESİ</w:t>
      </w:r>
    </w:p>
    <w:p w:rsidR="00000000" w:rsidDel="00000000" w:rsidP="00000000" w:rsidRDefault="00000000" w:rsidRPr="00000000" w14:paraId="00000002">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“ÖĞRENCİ/PERSONEL TAŞIMA HİZMETİ ALIMI-36 AY SÜRELİ”</w:t>
      </w:r>
    </w:p>
    <w:p w:rsidR="00000000" w:rsidDel="00000000" w:rsidP="00000000" w:rsidRDefault="00000000" w:rsidRPr="00000000" w14:paraId="00000003">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4">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color w:val="000000"/>
          <w:sz w:val="24"/>
          <w:szCs w:val="24"/>
          <w:rtl w:val="0"/>
        </w:rPr>
        <w:t xml:space="preserve">“MEF Üniversitesi Öğrenci/Personel Taşıma Hizmet Alımı”-36 ay süreli”</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30597 sayılı Resmî Gazetede yayımlanan Vakıf Yükseköğretim Kurumları İhale Yönetmeliğini’nin 16. Maddesine göre Açık İhale Usulü ile ihale edilecektir.</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İhale Kayıt Numarası: </w:t>
      </w:r>
      <w:r w:rsidDel="00000000" w:rsidR="00000000" w:rsidRPr="00000000">
        <w:rPr>
          <w:rFonts w:ascii="Times New Roman" w:cs="Times New Roman" w:eastAsia="Times New Roman" w:hAnsi="Times New Roman"/>
          <w:b w:val="1"/>
          <w:bCs w:val="1"/>
          <w:sz w:val="24"/>
          <w:szCs w:val="24"/>
          <w:rtl w:val="0"/>
        </w:rPr>
        <w:t xml:space="preserve">2026/07-365</w:t>
      </w:r>
      <w:r w:rsidDel="00000000" w:rsidR="00000000" w:rsidRPr="00000000">
        <w:rPr>
          <w:rtl w:val="0"/>
        </w:rPr>
      </w:r>
    </w:p>
    <w:p w:rsidR="00000000" w:rsidDel="00000000" w:rsidP="00000000" w:rsidRDefault="00000000" w:rsidRPr="00000000" w14:paraId="00000006">
      <w:pPr>
        <w:numPr>
          <w:ilvl w:val="0"/>
          <w:numId w:val="2"/>
        </w:numPr>
        <w:ind w:left="284" w:hanging="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İdarenin</w:t>
      </w:r>
      <w:r w:rsidDel="00000000" w:rsidR="00000000" w:rsidRPr="00000000">
        <w:rPr>
          <w:rtl w:val="0"/>
        </w:rPr>
      </w:r>
    </w:p>
    <w:tbl>
      <w:tblPr>
        <w:tblStyle w:val="Table1"/>
        <w:tblW w:w="8789.0" w:type="dxa"/>
        <w:jc w:val="left"/>
        <w:tblLayout w:type="fixed"/>
        <w:tblLook w:val="0400"/>
      </w:tblPr>
      <w:tblGrid>
        <w:gridCol w:w="4407"/>
        <w:gridCol w:w="4382"/>
        <w:tblGridChange w:id="0">
          <w:tblGrid>
            <w:gridCol w:w="4407"/>
            <w:gridCol w:w="4382"/>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Adresi</w:t>
            </w:r>
          </w:p>
        </w:tc>
        <w:tc>
          <w:tcPr>
            <w:tcBorders>
              <w:top w:color="dee2e6" w:space="0" w:sz="6" w:val="single"/>
            </w:tcBorders>
            <w:shd w:fill="ffffff" w:val="clear"/>
          </w:tcPr>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Üniversitesi/Satınalma Müdürlüğü, Huzur Mah. Maslak Ayazağa Cad. No:4/1 34396 Maslak-Sarıyer/İstanbul</w:t>
            </w:r>
          </w:p>
        </w:tc>
      </w:tr>
      <w:tr>
        <w:trPr>
          <w:cantSplit w:val="0"/>
          <w:tblHeader w:val="0"/>
        </w:trPr>
        <w:tc>
          <w:tcPr>
            <w:tcBorders>
              <w:top w:color="dee2e6" w:space="0" w:sz="6" w:val="single"/>
            </w:tcBorders>
            <w:shd w:fill="ffffff" w:val="clear"/>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Telefon</w:t>
            </w:r>
          </w:p>
        </w:tc>
        <w:tc>
          <w:tcPr>
            <w:tcBorders>
              <w:top w:color="dee2e6" w:space="0" w:sz="6" w:val="single"/>
            </w:tcBorders>
            <w:shd w:fill="ffffff" w:val="clear"/>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Tel  0212 395 37 18 / Fax 0212 395 36 36</w:t>
            </w:r>
          </w:p>
        </w:tc>
      </w:tr>
      <w:tr>
        <w:trPr>
          <w:cantSplit w:val="0"/>
          <w:tblHeader w:val="0"/>
        </w:trPr>
        <w:tc>
          <w:tcPr>
            <w:tcBorders>
              <w:top w:color="dee2e6" w:space="0" w:sz="6" w:val="single"/>
            </w:tcBorders>
            <w:shd w:fill="ffffff" w:val="clear"/>
          </w:tcPr>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Elektronik Posta Adresi</w:t>
            </w:r>
          </w:p>
        </w:tc>
        <w:tc>
          <w:tcPr>
            <w:tcBorders>
              <w:top w:color="dee2e6" w:space="0" w:sz="6" w:val="single"/>
            </w:tcBorders>
            <w:shd w:fill="ffffff" w:val="clear"/>
          </w:tcPr>
          <w:p w:rsidR="00000000" w:rsidDel="00000000" w:rsidP="00000000" w:rsidRDefault="00000000" w:rsidRPr="00000000" w14:paraId="0000000C">
            <w:pP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 </w:t>
            </w:r>
            <w:hyperlink r:id="rId7">
              <w:r w:rsidDel="00000000" w:rsidR="00000000" w:rsidRPr="00000000">
                <w:rPr>
                  <w:rFonts w:ascii="Times New Roman" w:cs="Times New Roman" w:eastAsia="Times New Roman" w:hAnsi="Times New Roman"/>
                  <w:color w:val="0563c1"/>
                  <w:sz w:val="24"/>
                  <w:szCs w:val="24"/>
                  <w:u w:val="single"/>
                  <w:rtl w:val="0"/>
                </w:rPr>
                <w:t xml:space="preserve">dogangonulg@mef.edu.tr</w:t>
              </w:r>
            </w:hyperlink>
            <w:r w:rsidDel="00000000" w:rsidR="00000000" w:rsidRPr="00000000">
              <w:rPr>
                <w:rFonts w:ascii="Times New Roman" w:cs="Times New Roman" w:eastAsia="Times New Roman" w:hAnsi="Times New Roman"/>
                <w:color w:val="0563c1"/>
                <w:sz w:val="24"/>
                <w:szCs w:val="24"/>
                <w:u w:val="single"/>
                <w:rtl w:val="0"/>
              </w:rPr>
              <w:t xml:space="preserve">; arslanyant@mef.edu.tr</w:t>
            </w:r>
            <w:r w:rsidDel="00000000" w:rsidR="00000000" w:rsidRPr="00000000">
              <w:rPr>
                <w:rtl w:val="0"/>
              </w:rPr>
            </w:r>
          </w:p>
        </w:tc>
      </w:tr>
      <w:tr>
        <w:trPr>
          <w:cantSplit w:val="0"/>
          <w:tblHeader w:val="0"/>
        </w:trPr>
        <w:tc>
          <w:tcPr>
            <w:tcBorders>
              <w:top w:color="dee2e6" w:space="0" w:sz="6" w:val="single"/>
            </w:tcBorders>
            <w:shd w:fill="ffffff" w:val="clear"/>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ç) İhale Dokümanın görülebileceği internet adresi</w:t>
            </w:r>
          </w:p>
        </w:tc>
        <w:tc>
          <w:tcPr>
            <w:tcBorders>
              <w:top w:color="dee2e6" w:space="0" w:sz="6" w:val="single"/>
            </w:tcBorders>
            <w:shd w:fill="ffffff" w:val="clear"/>
          </w:tcPr>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hyperlink r:id="rId8">
              <w:r w:rsidDel="00000000" w:rsidR="00000000" w:rsidRPr="00000000">
                <w:rPr>
                  <w:rFonts w:ascii="Times New Roman" w:cs="Times New Roman" w:eastAsia="Times New Roman" w:hAnsi="Times New Roman"/>
                  <w:color w:val="0563c1"/>
                  <w:sz w:val="24"/>
                  <w:szCs w:val="24"/>
                  <w:u w:val="single"/>
                  <w:rtl w:val="0"/>
                </w:rPr>
                <w:t xml:space="preserve">www.mef.edu.tr</w:t>
              </w:r>
            </w:hyperlink>
            <w:r w:rsidDel="00000000" w:rsidR="00000000" w:rsidRPr="00000000">
              <w:rPr>
                <w:rtl w:val="0"/>
              </w:rPr>
            </w:r>
          </w:p>
        </w:tc>
      </w:tr>
    </w:tbl>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İhalenin Konusu Mal/ Hizmet/ Yapım İşi’nin</w:t>
      </w:r>
      <w:r w:rsidDel="00000000" w:rsidR="00000000" w:rsidRPr="00000000">
        <w:rPr>
          <w:rtl w:val="0"/>
        </w:rPr>
      </w:r>
    </w:p>
    <w:tbl>
      <w:tblPr>
        <w:tblStyle w:val="Table2"/>
        <w:tblW w:w="9072.0" w:type="dxa"/>
        <w:jc w:val="left"/>
        <w:tblLayout w:type="fixed"/>
        <w:tblLook w:val="0400"/>
      </w:tblPr>
      <w:tblGrid>
        <w:gridCol w:w="2356"/>
        <w:gridCol w:w="6716"/>
        <w:tblGridChange w:id="0">
          <w:tblGrid>
            <w:gridCol w:w="2356"/>
            <w:gridCol w:w="6716"/>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Niteliği, türü ve miktarı</w:t>
            </w:r>
          </w:p>
        </w:tc>
        <w:tc>
          <w:tcPr>
            <w:tcBorders>
              <w:top w:color="dee2e6" w:space="0" w:sz="6" w:val="single"/>
            </w:tcBorders>
            <w:shd w:fill="ffffff" w:val="clear"/>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 Öğrenci/Personel Taşıma Hizmet Alımı” 36 ay süreli, ayrıntılı bilgiye web sitemizde yayınlanan Teknik Şartname ve İdari Şartnamede bulabilirler.</w:t>
            </w:r>
          </w:p>
        </w:tc>
      </w:tr>
      <w:tr>
        <w:trPr>
          <w:cantSplit w:val="0"/>
          <w:tblHeader w:val="0"/>
        </w:trPr>
        <w:tc>
          <w:tcPr>
            <w:tcBorders>
              <w:top w:color="dee2e6" w:space="0" w:sz="6" w:val="single"/>
            </w:tcBorders>
            <w:shd w:fill="ffffff" w:val="clear"/>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Yapılacağı Yer</w:t>
            </w:r>
          </w:p>
        </w:tc>
        <w:tc>
          <w:tcPr>
            <w:tcBorders>
              <w:top w:color="dee2e6" w:space="0" w:sz="6" w:val="single"/>
            </w:tcBorders>
            <w:shd w:fill="ffffff" w:val="clear"/>
          </w:tcPr>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w:t>
            </w:r>
          </w:p>
        </w:tc>
      </w:tr>
      <w:tr>
        <w:trPr>
          <w:cantSplit w:val="0"/>
          <w:tblHeader w:val="0"/>
        </w:trPr>
        <w:tc>
          <w:tcPr>
            <w:tcBorders>
              <w:top w:color="dee2e6" w:space="0" w:sz="6" w:val="single"/>
            </w:tcBorders>
            <w:shd w:fill="ffffff" w:val="clear"/>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Süresi</w:t>
            </w:r>
          </w:p>
        </w:tc>
        <w:tc>
          <w:tcPr>
            <w:tcBorders>
              <w:top w:color="dee2e6" w:space="0" w:sz="6" w:val="single"/>
            </w:tcBorders>
            <w:shd w:fill="ffffff" w:val="clear"/>
          </w:tcPr>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İşe Başlama </w:t>
              <w:tab/>
              <w:tab/>
              <w:t xml:space="preserve">: 16.09.2026</w:t>
            </w:r>
          </w:p>
        </w:tc>
      </w:tr>
    </w:tbl>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İhalenin</w:t>
      </w:r>
      <w:r w:rsidDel="00000000" w:rsidR="00000000" w:rsidRPr="00000000">
        <w:rPr>
          <w:rtl w:val="0"/>
        </w:rPr>
      </w:r>
    </w:p>
    <w:tbl>
      <w:tblPr>
        <w:tblStyle w:val="Table3"/>
        <w:tblW w:w="9072.0" w:type="dxa"/>
        <w:jc w:val="left"/>
        <w:tblLayout w:type="fixed"/>
        <w:tblLook w:val="0400"/>
      </w:tblPr>
      <w:tblGrid>
        <w:gridCol w:w="2557"/>
        <w:gridCol w:w="6515"/>
        <w:tblGridChange w:id="0">
          <w:tblGrid>
            <w:gridCol w:w="2557"/>
            <w:gridCol w:w="6515"/>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Yapılacağı Yer</w:t>
            </w:r>
          </w:p>
        </w:tc>
        <w:tc>
          <w:tcPr>
            <w:tcBorders>
              <w:top w:color="dee2e6" w:space="0" w:sz="6" w:val="single"/>
            </w:tcBorders>
            <w:shd w:fill="ffffff" w:val="clear"/>
          </w:tcPr>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 Huzur Mah. Maslak Ayazağa Cad. No:4 34396 Maslak-Sarıyer/İstanbul</w:t>
            </w:r>
          </w:p>
        </w:tc>
      </w:tr>
      <w:tr>
        <w:trPr>
          <w:cantSplit w:val="0"/>
          <w:tblHeader w:val="0"/>
        </w:trPr>
        <w:tc>
          <w:tcPr>
            <w:tcBorders>
              <w:top w:color="dee2e6" w:space="0" w:sz="6" w:val="single"/>
            </w:tcBorders>
            <w:shd w:fill="ffffff" w:val="clear"/>
          </w:tcPr>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Tarihi ve saati</w:t>
            </w:r>
          </w:p>
        </w:tc>
        <w:tc>
          <w:tcPr>
            <w:tcBorders>
              <w:top w:color="dee2e6" w:space="0" w:sz="6" w:val="single"/>
            </w:tcBorders>
            <w:shd w:fill="ffffff" w:val="clear"/>
          </w:tcPr>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25.08.2026 - Saat:10:00</w:t>
            </w:r>
            <w:r w:rsidDel="00000000" w:rsidR="00000000" w:rsidRPr="00000000">
              <w:rPr>
                <w:rtl w:val="0"/>
              </w:rPr>
            </w:r>
          </w:p>
        </w:tc>
      </w:tr>
    </w:tbl>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pacing w:after="0" w:lineRule="auto"/>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İhaleye Katılabilme Şartları ve İstenilen Belgeler ile Yeterlilik Değerlendirmesinde Uygulanacak Kriterler:</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709"/>
        </w:tabs>
        <w:ind w:left="851" w:hanging="85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İhaleye katılma şartları ve istenilen belgeler: </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4.1.2.</w:t>
      </w:r>
      <w:r w:rsidDel="00000000" w:rsidR="00000000" w:rsidRPr="00000000">
        <w:rPr>
          <w:rFonts w:ascii="Times New Roman" w:cs="Times New Roman" w:eastAsia="Times New Roman" w:hAnsi="Times New Roman"/>
          <w:sz w:val="24"/>
          <w:szCs w:val="24"/>
          <w:rtl w:val="0"/>
        </w:rPr>
        <w:t xml:space="preserve"> </w:t>
        <w:tab/>
        <w:t xml:space="preserve">Teklif vermeye yetkili olduğunu gösteren İmza Beyannamesi veya İmza Sirküleri: </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4.1.2.1.</w:t>
      </w:r>
      <w:r w:rsidDel="00000000" w:rsidR="00000000" w:rsidRPr="00000000">
        <w:rPr>
          <w:rFonts w:ascii="Times New Roman" w:cs="Times New Roman" w:eastAsia="Times New Roman" w:hAnsi="Times New Roman"/>
          <w:sz w:val="24"/>
          <w:szCs w:val="24"/>
          <w:rtl w:val="0"/>
        </w:rPr>
        <w:t xml:space="preserve"> Gerçek kişi olması halinde, noter tasdikli imza beyannamesi, </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4.1.2.2.</w:t>
      </w:r>
      <w:r w:rsidDel="00000000" w:rsidR="00000000" w:rsidRPr="00000000">
        <w:rPr>
          <w:rFonts w:ascii="Times New Roman" w:cs="Times New Roman" w:eastAsia="Times New Roman" w:hAnsi="Times New Roman"/>
          <w:sz w:val="24"/>
          <w:szCs w:val="24"/>
          <w:rtl w:val="0"/>
        </w:rPr>
        <w:t xml:space="preserve"> 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4.1.3.</w:t>
      </w:r>
      <w:r w:rsidDel="00000000" w:rsidR="00000000" w:rsidRPr="00000000">
        <w:rPr>
          <w:rFonts w:ascii="Times New Roman" w:cs="Times New Roman" w:eastAsia="Times New Roman" w:hAnsi="Times New Roman"/>
          <w:sz w:val="24"/>
          <w:szCs w:val="24"/>
          <w:rtl w:val="0"/>
        </w:rPr>
        <w:t xml:space="preserve"> Şekli ve içeriği İdari Şartnamede belirlenen teklif mektubu ve teklif cetveli.</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4.1.4.</w:t>
      </w:r>
      <w:r w:rsidDel="00000000" w:rsidR="00000000" w:rsidRPr="00000000">
        <w:rPr>
          <w:rFonts w:ascii="Times New Roman" w:cs="Times New Roman" w:eastAsia="Times New Roman" w:hAnsi="Times New Roman"/>
          <w:sz w:val="24"/>
          <w:szCs w:val="24"/>
          <w:rtl w:val="0"/>
        </w:rPr>
        <w:t xml:space="preserve"> Şekli ve içeriği İdari Şartnamede belirlenen geçici teminat. </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4.2. Ekonomik ve mali yeterliğe ilişkin belgeler ve bu belgelerin taşıması gereken kriterler:</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İdare tarafından ekonomik ve mali yeterliğe ilişkin belgelere idari şartnamede yer verilmiştir.</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4.3. Mesleki ve Teknik yeterliğe ilişkin belgeler ve bu belgelerin taşıması gereken kriterler:</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İdare tarafından Mesleki ve Teknik yeterliğe ilişkin kriterler idari şartnamede belirtilmiştir.</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Ekonomik açıdan en avantajlı teklif sadece fiyat esasına göre belirlenecektir. </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İhaleye sadece yerli istekliler katılabilecektir. </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7.</w:t>
      </w:r>
      <w:r w:rsidDel="00000000" w:rsidR="00000000" w:rsidRPr="00000000">
        <w:rPr>
          <w:rFonts w:ascii="Times New Roman" w:cs="Times New Roman" w:eastAsia="Times New Roman" w:hAnsi="Times New Roman"/>
          <w:sz w:val="24"/>
          <w:szCs w:val="24"/>
          <w:rtl w:val="0"/>
        </w:rPr>
        <w:t xml:space="preserve"> İhale dokümanının görülmesi ve satın alınması: </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7.1.</w:t>
      </w:r>
      <w:r w:rsidDel="00000000" w:rsidR="00000000" w:rsidRPr="00000000">
        <w:rPr>
          <w:rFonts w:ascii="Times New Roman" w:cs="Times New Roman" w:eastAsia="Times New Roman" w:hAnsi="Times New Roman"/>
          <w:sz w:val="24"/>
          <w:szCs w:val="24"/>
          <w:rtl w:val="0"/>
        </w:rPr>
        <w:t xml:space="preserve"> İhale dokümanı, idarenin adresinde görülebilir ve 4.000 TL (DörtbinTürkLirası) karşılığı, ödeme dekontu getirilerek “MEF Üniversitesi Huzur Mah. Maslak Ayazağa Cad. No:4/1 34396 Maslak-Sarıyer/İstanbul Satınalma Müdürlüğünden” temin edilebilir. Katılımcılar Yapı ve Kredi Bankası 688-Maslak Şubesi İban No: TR78 0006 7010 0000 0051 7438 29 No’lu hesaba sadece banka gişelerinden firma İsmi ve ödemeye ilişkin ihale konusu </w:t>
      </w:r>
      <w:r w:rsidDel="00000000" w:rsidR="00000000" w:rsidRPr="00000000">
        <w:rPr>
          <w:rFonts w:ascii="Times New Roman" w:cs="Times New Roman" w:eastAsia="Times New Roman" w:hAnsi="Times New Roman"/>
          <w:b w:val="1"/>
          <w:bCs w:val="1"/>
          <w:sz w:val="24"/>
          <w:szCs w:val="24"/>
          <w:rtl w:val="0"/>
        </w:rPr>
        <w:t xml:space="preserve">“MEF Üniversitesi Öğrenci/Personel Taşıma Hizmet Alımı” 36 ay süreli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doküman bedeli) </w:t>
      </w:r>
      <w:r w:rsidDel="00000000" w:rsidR="00000000" w:rsidRPr="00000000">
        <w:rPr>
          <w:rFonts w:ascii="Times New Roman" w:cs="Times New Roman" w:eastAsia="Times New Roman" w:hAnsi="Times New Roman"/>
          <w:sz w:val="24"/>
          <w:szCs w:val="24"/>
          <w:rtl w:val="0"/>
        </w:rPr>
        <w:t xml:space="preserve">yazılarak ödeme yapılmalıdır. İhale dokümanlarının satın alınması zorunludur.</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8.</w:t>
      </w:r>
      <w:r w:rsidDel="00000000" w:rsidR="00000000" w:rsidRPr="00000000">
        <w:rPr>
          <w:rFonts w:ascii="Times New Roman" w:cs="Times New Roman" w:eastAsia="Times New Roman" w:hAnsi="Times New Roman"/>
          <w:sz w:val="24"/>
          <w:szCs w:val="24"/>
          <w:rtl w:val="0"/>
        </w:rPr>
        <w:t xml:space="preserve"> Teklifler, ihale tarih ve saatine kadar MEF Üniversitesi Huzur Mah. Maslak Ayazağa Cad. No:4/1 34396 Maslak-Sarıyer/İstanbul Satınalma Müdürlüğü</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adresine elden teslim edilebileceği gibi, aynı adrese iadeli taahhütlü posta vasıtasıyla da gönderilebilir. Posta ile yapılan başvuruların son başvuru tarihine ve saatine kadar üniversitemize ulaşmış olması gerekmektedir. İhale zarfı</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kapalı olmalı ve kapatma yerinde kaşe-imza mutlaka bulunmalıdır.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9.</w:t>
      </w:r>
      <w:r w:rsidDel="00000000" w:rsidR="00000000" w:rsidRPr="00000000">
        <w:rPr>
          <w:rFonts w:ascii="Times New Roman" w:cs="Times New Roman" w:eastAsia="Times New Roman" w:hAnsi="Times New Roman"/>
          <w:sz w:val="24"/>
          <w:szCs w:val="24"/>
          <w:rtl w:val="0"/>
        </w:rPr>
        <w:t xml:space="preserve">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br w:type="textWrapping"/>
        <w:t xml:space="preserve">Bu ihalede, işin tamamı için teklif verilecektir.  </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10.</w:t>
      </w:r>
      <w:r w:rsidDel="00000000" w:rsidR="00000000" w:rsidRPr="00000000">
        <w:rPr>
          <w:rFonts w:ascii="Times New Roman" w:cs="Times New Roman" w:eastAsia="Times New Roman" w:hAnsi="Times New Roman"/>
          <w:sz w:val="24"/>
          <w:szCs w:val="24"/>
          <w:rtl w:val="0"/>
        </w:rPr>
        <w:t xml:space="preserve"> İstekliler, teklif ettikleri bedelin %5’ inden az olmamak üzere kendi belirleyecekleri tutarda 3 ay süreli geçici teminat vereceklerdir. Teklif edilen bedelin %5’ inden az oranda geçici teminat veren isteklilerin teklifleri değerlendirme dışı bırakılır.</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 Verilen tekliflerin geçerlilik süresi, ihale tarihinden itibaren 60 (altmış) takvim günüdür. </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 Konsorsiyum, iş ortaklıkları ve adi şirket ortaklığı olarak ihaleye teklif verilemez. </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13.</w:t>
      </w:r>
      <w:r w:rsidDel="00000000" w:rsidR="00000000" w:rsidRPr="00000000">
        <w:rPr>
          <w:rFonts w:ascii="Times New Roman" w:cs="Times New Roman" w:eastAsia="Times New Roman" w:hAnsi="Times New Roman"/>
          <w:sz w:val="24"/>
          <w:szCs w:val="24"/>
          <w:rtl w:val="0"/>
        </w:rPr>
        <w:t xml:space="preserve"> İsteklilerin sözleşmenin uygulanması sırasında ilgili mevzuat gereğince ödeyeceği her türlü vergi, resim, harç ve benzeri giderler ile ulaşım ve her türlü sigorta giderleri teklif verene aittir.</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14. Diğer Hususlar:</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İhale Yönetmeliği’nin 22. Maddesine göre öngörülen açıklama istenmeksizin ekonomik açıdan en avantajlı teklif üzerinde bırakılacaktır.</w:t>
      </w:r>
    </w:p>
    <w:p w:rsidR="00000000" w:rsidDel="00000000" w:rsidP="00000000" w:rsidRDefault="00000000" w:rsidRPr="00000000" w14:paraId="00000036">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360" w:hanging="360"/>
      </w:pPr>
      <w:rPr>
        <w:b w:val="1"/>
        <w:bCs w:val="1"/>
      </w:rPr>
    </w:lvl>
    <w:lvl w:ilvl="1">
      <w:start w:val="1"/>
      <w:numFmt w:val="decimal"/>
      <w:lvlText w:val="%1.%2."/>
      <w:lvlJc w:val="left"/>
      <w:pPr>
        <w:ind w:left="1800" w:hanging="360"/>
      </w:pPr>
      <w:rPr>
        <w:b w:val="1"/>
        <w:bCs w:val="1"/>
      </w:rPr>
    </w:lvl>
    <w:lvl w:ilvl="2">
      <w:start w:val="1"/>
      <w:numFmt w:val="decimal"/>
      <w:lvlText w:val="%1.%2.%3."/>
      <w:lvlJc w:val="left"/>
      <w:pPr>
        <w:ind w:left="3600" w:hanging="720"/>
      </w:pPr>
      <w:rPr>
        <w:b w:val="1"/>
        <w:bCs w:val="1"/>
      </w:rPr>
    </w:lvl>
    <w:lvl w:ilvl="3">
      <w:start w:val="1"/>
      <w:numFmt w:val="decimal"/>
      <w:lvlText w:val="%1.%2.%3.%4."/>
      <w:lvlJc w:val="left"/>
      <w:pPr>
        <w:ind w:left="5040" w:hanging="720"/>
      </w:pPr>
      <w:rPr>
        <w:b w:val="1"/>
        <w:bCs w:val="1"/>
      </w:rPr>
    </w:lvl>
    <w:lvl w:ilvl="4">
      <w:start w:val="1"/>
      <w:numFmt w:val="decimal"/>
      <w:lvlText w:val="%1.%2.%3.%4.%5."/>
      <w:lvlJc w:val="left"/>
      <w:pPr>
        <w:ind w:left="6840" w:hanging="1080"/>
      </w:pPr>
      <w:rPr>
        <w:b w:val="1"/>
        <w:bCs w:val="1"/>
      </w:rPr>
    </w:lvl>
    <w:lvl w:ilvl="5">
      <w:start w:val="1"/>
      <w:numFmt w:val="decimal"/>
      <w:lvlText w:val="%1.%2.%3.%4.%5.%6."/>
      <w:lvlJc w:val="left"/>
      <w:pPr>
        <w:ind w:left="8280" w:hanging="1080"/>
      </w:pPr>
      <w:rPr>
        <w:b w:val="1"/>
        <w:bCs w:val="1"/>
      </w:rPr>
    </w:lvl>
    <w:lvl w:ilvl="6">
      <w:start w:val="1"/>
      <w:numFmt w:val="decimal"/>
      <w:lvlText w:val="%1.%2.%3.%4.%5.%6.%7."/>
      <w:lvlJc w:val="left"/>
      <w:pPr>
        <w:ind w:left="10080" w:hanging="1440"/>
      </w:pPr>
      <w:rPr>
        <w:b w:val="1"/>
        <w:bCs w:val="1"/>
      </w:rPr>
    </w:lvl>
    <w:lvl w:ilvl="7">
      <w:start w:val="1"/>
      <w:numFmt w:val="decimal"/>
      <w:lvlText w:val="%1.%2.%3.%4.%5.%6.%7.%8."/>
      <w:lvlJc w:val="left"/>
      <w:pPr>
        <w:ind w:left="11520" w:hanging="1440"/>
      </w:pPr>
      <w:rPr>
        <w:b w:val="1"/>
        <w:bCs w:val="1"/>
      </w:rPr>
    </w:lvl>
    <w:lvl w:ilvl="8">
      <w:start w:val="1"/>
      <w:numFmt w:val="decimal"/>
      <w:lvlText w:val="%1.%2.%3.%4.%5.%6.%7.%8.%9."/>
      <w:lvlJc w:val="left"/>
      <w:pPr>
        <w:ind w:left="13320" w:hanging="1800"/>
      </w:pPr>
      <w:rPr>
        <w:b w:val="1"/>
        <w:bCs w:val="1"/>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ogangonulg@mef.edu.tr" TargetMode="External"/><Relationship Id="rId8" Type="http://schemas.openxmlformats.org/officeDocument/2006/relationships/hyperlink" Target="http://www.mef.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cl+pXL1uCpw8kdCaKT80VR19SA==">CgMxLjAyCGguZ2pkZ3hzOAByITFqRU4tanpObERHbi1WVTBXTTFmYS1qbU1Ka2dwXzE2dg==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